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C14" w:rsidRPr="0025428E" w:rsidRDefault="00DA73E1" w:rsidP="00DA73E1">
      <w:pPr>
        <w:rPr>
          <w:rFonts w:ascii="Arial" w:eastAsia="Times New Roman" w:hAnsi="Arial" w:cs="Arial"/>
          <w:szCs w:val="20"/>
        </w:rPr>
      </w:pPr>
      <w:proofErr w:type="gramStart"/>
      <w:r w:rsidRPr="0025428E">
        <w:rPr>
          <w:rFonts w:ascii="Arial" w:eastAsia="Times New Roman" w:hAnsi="Arial" w:cs="Arial"/>
          <w:szCs w:val="20"/>
        </w:rPr>
        <w:t xml:space="preserve">  </w:t>
      </w:r>
      <w:r w:rsidRPr="0025428E">
        <w:rPr>
          <w:rFonts w:ascii="Arial" w:eastAsia="Times New Roman" w:hAnsi="Arial" w:cs="Arial"/>
          <w:b/>
          <w:bCs/>
          <w:szCs w:val="20"/>
        </w:rPr>
        <w:t>Position</w:t>
      </w:r>
      <w:proofErr w:type="gramEnd"/>
      <w:r w:rsidRPr="0025428E">
        <w:rPr>
          <w:rFonts w:ascii="Arial" w:eastAsia="Times New Roman" w:hAnsi="Arial" w:cs="Arial"/>
          <w:b/>
          <w:bCs/>
          <w:szCs w:val="20"/>
        </w:rPr>
        <w:t xml:space="preserve"> Type:</w:t>
      </w:r>
      <w:r w:rsidRPr="0025428E">
        <w:rPr>
          <w:rFonts w:ascii="Arial" w:eastAsia="Times New Roman" w:hAnsi="Arial" w:cs="Arial"/>
          <w:szCs w:val="20"/>
        </w:rPr>
        <w:br/>
        <w:t>  </w:t>
      </w:r>
      <w:r w:rsidR="00EF5012" w:rsidRPr="0025428E">
        <w:rPr>
          <w:rFonts w:ascii="Arial" w:eastAsia="Times New Roman" w:hAnsi="Arial" w:cs="Arial"/>
          <w:szCs w:val="20"/>
        </w:rPr>
        <w:t>Board of Directors, Delaware</w:t>
      </w:r>
      <w:r w:rsidR="0025428E" w:rsidRPr="0025428E">
        <w:rPr>
          <w:rFonts w:ascii="Arial" w:eastAsia="Times New Roman" w:hAnsi="Arial" w:cs="Arial"/>
          <w:szCs w:val="20"/>
        </w:rPr>
        <w:t xml:space="preserve">-Morrow Mental Health &amp; Recovery Services Board </w:t>
      </w:r>
      <w:r w:rsidR="00467C14" w:rsidRPr="0025428E">
        <w:rPr>
          <w:rFonts w:ascii="Arial" w:eastAsia="Times New Roman" w:hAnsi="Arial" w:cs="Arial"/>
          <w:szCs w:val="20"/>
        </w:rPr>
        <w:br/>
      </w:r>
    </w:p>
    <w:p w:rsidR="00DA73E1" w:rsidRPr="0025428E" w:rsidRDefault="00DA73E1" w:rsidP="00DA73E1">
      <w:pPr>
        <w:rPr>
          <w:rFonts w:ascii="Arial" w:eastAsia="Times New Roman" w:hAnsi="Arial" w:cs="Arial"/>
          <w:szCs w:val="20"/>
        </w:rPr>
      </w:pPr>
      <w:r w:rsidRPr="0025428E">
        <w:rPr>
          <w:rFonts w:ascii="Arial" w:eastAsia="Times New Roman" w:hAnsi="Arial" w:cs="Arial"/>
          <w:szCs w:val="20"/>
        </w:rPr>
        <w:t xml:space="preserve">  </w:t>
      </w:r>
      <w:r w:rsidRPr="0025428E">
        <w:rPr>
          <w:rFonts w:ascii="Arial" w:eastAsia="Times New Roman" w:hAnsi="Arial" w:cs="Arial"/>
          <w:b/>
          <w:bCs/>
          <w:szCs w:val="20"/>
        </w:rPr>
        <w:t>Date Posted:</w:t>
      </w:r>
      <w:r w:rsidRPr="0025428E">
        <w:rPr>
          <w:rFonts w:ascii="Arial" w:eastAsia="Times New Roman" w:hAnsi="Arial" w:cs="Arial"/>
          <w:szCs w:val="20"/>
        </w:rPr>
        <w:br/>
        <w:t> </w:t>
      </w:r>
      <w:r w:rsidR="00F61F50">
        <w:rPr>
          <w:rFonts w:ascii="Arial" w:eastAsia="Times New Roman" w:hAnsi="Arial" w:cs="Arial"/>
          <w:szCs w:val="20"/>
        </w:rPr>
        <w:t>05/06/2020</w:t>
      </w:r>
      <w:bookmarkStart w:id="0" w:name="_GoBack"/>
      <w:bookmarkEnd w:id="0"/>
    </w:p>
    <w:p w:rsidR="00DA73E1" w:rsidRPr="0025428E" w:rsidRDefault="00DA73E1" w:rsidP="00402041">
      <w:pPr>
        <w:rPr>
          <w:rFonts w:ascii="Arial" w:eastAsia="Times New Roman" w:hAnsi="Arial" w:cs="Arial"/>
          <w:szCs w:val="20"/>
          <w:shd w:val="clear" w:color="auto" w:fill="F7F7F7"/>
        </w:rPr>
      </w:pPr>
      <w:proofErr w:type="gramStart"/>
      <w:r w:rsidRPr="0025428E">
        <w:rPr>
          <w:rFonts w:ascii="Arial" w:eastAsia="Times New Roman" w:hAnsi="Arial" w:cs="Arial"/>
          <w:szCs w:val="20"/>
        </w:rPr>
        <w:t xml:space="preserve">  </w:t>
      </w:r>
      <w:r w:rsidRPr="0025428E">
        <w:rPr>
          <w:rFonts w:ascii="Arial" w:eastAsia="Times New Roman" w:hAnsi="Arial" w:cs="Arial"/>
          <w:b/>
          <w:bCs/>
          <w:szCs w:val="20"/>
        </w:rPr>
        <w:t>Location</w:t>
      </w:r>
      <w:proofErr w:type="gramEnd"/>
      <w:r w:rsidRPr="0025428E">
        <w:rPr>
          <w:rFonts w:ascii="Arial" w:eastAsia="Times New Roman" w:hAnsi="Arial" w:cs="Arial"/>
          <w:b/>
          <w:bCs/>
          <w:szCs w:val="20"/>
        </w:rPr>
        <w:t>:</w:t>
      </w:r>
      <w:r w:rsidRPr="0025428E">
        <w:rPr>
          <w:rFonts w:ascii="Arial" w:eastAsia="Times New Roman" w:hAnsi="Arial" w:cs="Arial"/>
          <w:szCs w:val="20"/>
        </w:rPr>
        <w:br/>
        <w:t>  Delaware County</w:t>
      </w:r>
      <w:r w:rsidRPr="0025428E">
        <w:rPr>
          <w:rFonts w:ascii="Arial" w:eastAsia="Times New Roman" w:hAnsi="Arial" w:cs="Arial"/>
          <w:szCs w:val="20"/>
        </w:rPr>
        <w:br/>
      </w:r>
      <w:r w:rsidRPr="0025428E">
        <w:rPr>
          <w:rFonts w:ascii="Arial" w:eastAsia="Times New Roman" w:hAnsi="Arial" w:cs="Arial"/>
          <w:szCs w:val="20"/>
        </w:rPr>
        <w:br/>
        <w:t xml:space="preserve">  </w:t>
      </w:r>
      <w:r w:rsidRPr="0025428E">
        <w:rPr>
          <w:rFonts w:ascii="Arial" w:eastAsia="Times New Roman" w:hAnsi="Arial" w:cs="Arial"/>
          <w:szCs w:val="20"/>
          <w:shd w:val="clear" w:color="auto" w:fill="F7F7F7"/>
        </w:rPr>
        <w:t>  </w:t>
      </w:r>
    </w:p>
    <w:p w:rsidR="00DA73E1" w:rsidRPr="0025428E" w:rsidRDefault="00886B79" w:rsidP="00DA73E1">
      <w:pPr>
        <w:jc w:val="center"/>
        <w:rPr>
          <w:rFonts w:ascii="Arial" w:eastAsia="Times New Roman" w:hAnsi="Arial" w:cs="Arial"/>
          <w:szCs w:val="20"/>
        </w:rPr>
      </w:pPr>
      <w:r w:rsidRPr="0025428E">
        <w:rPr>
          <w:rFonts w:ascii="Arial" w:eastAsia="Times New Roman" w:hAnsi="Arial" w:cs="Arial"/>
          <w:b/>
          <w:bCs/>
          <w:szCs w:val="20"/>
          <w:shd w:val="clear" w:color="auto" w:fill="F7F7F7"/>
        </w:rPr>
        <w:t xml:space="preserve">Delaware </w:t>
      </w:r>
      <w:r w:rsidR="0025428E" w:rsidRPr="0025428E">
        <w:rPr>
          <w:rFonts w:ascii="Arial" w:eastAsia="Times New Roman" w:hAnsi="Arial" w:cs="Arial"/>
          <w:b/>
          <w:bCs/>
          <w:szCs w:val="20"/>
          <w:shd w:val="clear" w:color="auto" w:fill="F7F7F7"/>
        </w:rPr>
        <w:t>County Mental Health &amp; Recovery Services Board</w:t>
      </w:r>
      <w:r w:rsidRPr="0025428E">
        <w:rPr>
          <w:rFonts w:ascii="Arial" w:eastAsia="Times New Roman" w:hAnsi="Arial" w:cs="Arial"/>
          <w:b/>
          <w:bCs/>
          <w:szCs w:val="20"/>
          <w:shd w:val="clear" w:color="auto" w:fill="F7F7F7"/>
        </w:rPr>
        <w:br/>
        <w:t>Board of Directors Member</w:t>
      </w:r>
    </w:p>
    <w:p w:rsidR="0025428E" w:rsidRPr="0025428E" w:rsidRDefault="0025428E" w:rsidP="0025428E">
      <w:pPr>
        <w:ind w:left="1440" w:hanging="1440"/>
        <w:rPr>
          <w:rFonts w:ascii="Arial" w:eastAsia="Times New Roman" w:hAnsi="Arial" w:cs="Arial"/>
          <w:szCs w:val="20"/>
          <w:shd w:val="clear" w:color="auto" w:fill="F7F7F7"/>
        </w:rPr>
      </w:pPr>
    </w:p>
    <w:p w:rsidR="0025428E" w:rsidRPr="0025428E" w:rsidRDefault="00DA73E1" w:rsidP="0025428E">
      <w:pPr>
        <w:ind w:left="1440" w:hanging="1440"/>
        <w:rPr>
          <w:rFonts w:ascii="Arial" w:eastAsia="Times New Roman" w:hAnsi="Arial" w:cs="Arial"/>
          <w:szCs w:val="20"/>
          <w:shd w:val="clear" w:color="auto" w:fill="F7F7F7"/>
        </w:rPr>
      </w:pPr>
      <w:r w:rsidRPr="0025428E">
        <w:rPr>
          <w:rFonts w:ascii="Arial" w:eastAsia="Times New Roman" w:hAnsi="Arial" w:cs="Arial"/>
          <w:b/>
          <w:bCs/>
          <w:szCs w:val="20"/>
          <w:shd w:val="clear" w:color="auto" w:fill="F7F7F7"/>
        </w:rPr>
        <w:t>Position Type</w:t>
      </w:r>
      <w:r w:rsidRPr="0025428E">
        <w:rPr>
          <w:rFonts w:ascii="Arial" w:eastAsia="Times New Roman" w:hAnsi="Arial" w:cs="Arial"/>
          <w:szCs w:val="20"/>
          <w:shd w:val="clear" w:color="auto" w:fill="F7F7F7"/>
        </w:rPr>
        <w:t xml:space="preserve">:                   </w:t>
      </w:r>
      <w:r w:rsidR="00886B79" w:rsidRPr="0025428E">
        <w:rPr>
          <w:rFonts w:ascii="Arial" w:eastAsia="Times New Roman" w:hAnsi="Arial" w:cs="Arial"/>
          <w:szCs w:val="20"/>
          <w:shd w:val="clear" w:color="auto" w:fill="F7F7F7"/>
        </w:rPr>
        <w:t>Volunteer, Part-Time</w:t>
      </w:r>
    </w:p>
    <w:p w:rsidR="00EF5012" w:rsidRPr="0025428E" w:rsidRDefault="00DA73E1" w:rsidP="0025428E">
      <w:pPr>
        <w:ind w:left="1440" w:hanging="1440"/>
        <w:rPr>
          <w:rFonts w:ascii="Arial" w:hAnsi="Arial" w:cs="Arial"/>
          <w:szCs w:val="20"/>
        </w:rPr>
      </w:pPr>
      <w:r w:rsidRPr="0025428E">
        <w:rPr>
          <w:rFonts w:ascii="Arial" w:eastAsia="Times New Roman" w:hAnsi="Arial" w:cs="Arial"/>
          <w:b/>
          <w:bCs/>
          <w:szCs w:val="20"/>
          <w:shd w:val="clear" w:color="auto" w:fill="F7F7F7"/>
        </w:rPr>
        <w:t>Address</w:t>
      </w:r>
      <w:r w:rsidRPr="0025428E">
        <w:rPr>
          <w:rFonts w:ascii="Arial" w:eastAsia="Times New Roman" w:hAnsi="Arial" w:cs="Arial"/>
          <w:szCs w:val="20"/>
          <w:shd w:val="clear" w:color="auto" w:fill="F7F7F7"/>
        </w:rPr>
        <w:t xml:space="preserve">:                            </w:t>
      </w:r>
      <w:r w:rsidR="00886B79" w:rsidRPr="0025428E">
        <w:rPr>
          <w:rFonts w:ascii="Arial" w:eastAsia="Times New Roman" w:hAnsi="Arial" w:cs="Arial"/>
          <w:szCs w:val="20"/>
          <w:shd w:val="clear" w:color="auto" w:fill="F7F7F7"/>
        </w:rPr>
        <w:t xml:space="preserve"> </w:t>
      </w:r>
      <w:r w:rsidR="0025428E" w:rsidRPr="0025428E">
        <w:rPr>
          <w:rFonts w:ascii="Arial" w:hAnsi="Arial" w:cs="Arial"/>
          <w:szCs w:val="20"/>
        </w:rPr>
        <w:t>40 N Sandusky Street, 301, Delaware, Ohio, but occasionally will meet at the Morrow County space, The Meadow Center, 950 Meadow Drive, Mt. Gilead, Ohio.</w:t>
      </w:r>
    </w:p>
    <w:p w:rsidR="0025428E" w:rsidRPr="0025428E" w:rsidRDefault="00EF5012" w:rsidP="0025428E">
      <w:pPr>
        <w:ind w:left="1440" w:hanging="1440"/>
        <w:rPr>
          <w:rFonts w:ascii="Arial" w:eastAsia="Times New Roman" w:hAnsi="Arial" w:cs="Arial"/>
          <w:szCs w:val="20"/>
          <w:shd w:val="clear" w:color="auto" w:fill="F7F7F7"/>
        </w:rPr>
      </w:pPr>
      <w:r w:rsidRPr="0025428E">
        <w:rPr>
          <w:rFonts w:ascii="Arial" w:eastAsia="Times New Roman" w:hAnsi="Arial" w:cs="Arial"/>
          <w:b/>
          <w:bCs/>
          <w:szCs w:val="20"/>
          <w:shd w:val="clear" w:color="auto" w:fill="F7F7F7"/>
        </w:rPr>
        <w:t>Typica</w:t>
      </w:r>
      <w:r w:rsidR="00DA73E1" w:rsidRPr="0025428E">
        <w:rPr>
          <w:rFonts w:ascii="Arial" w:eastAsia="Times New Roman" w:hAnsi="Arial" w:cs="Arial"/>
          <w:b/>
          <w:bCs/>
          <w:szCs w:val="20"/>
          <w:shd w:val="clear" w:color="auto" w:fill="F7F7F7"/>
        </w:rPr>
        <w:t>l Work Schedule:</w:t>
      </w:r>
      <w:r w:rsidR="00402041" w:rsidRPr="0025428E">
        <w:rPr>
          <w:rFonts w:ascii="Arial" w:eastAsia="Times New Roman" w:hAnsi="Arial" w:cs="Arial"/>
          <w:szCs w:val="20"/>
          <w:shd w:val="clear" w:color="auto" w:fill="F7F7F7"/>
        </w:rPr>
        <w:t xml:space="preserve">    </w:t>
      </w:r>
      <w:r w:rsidRPr="0025428E">
        <w:rPr>
          <w:rFonts w:ascii="Arial" w:hAnsi="Arial" w:cs="Arial"/>
          <w:szCs w:val="20"/>
        </w:rPr>
        <w:t xml:space="preserve">Board meets </w:t>
      </w:r>
      <w:r w:rsidR="0025428E" w:rsidRPr="0025428E">
        <w:rPr>
          <w:rFonts w:ascii="Arial" w:hAnsi="Arial" w:cs="Arial"/>
          <w:szCs w:val="20"/>
        </w:rPr>
        <w:t xml:space="preserve">10 times per year, September through June. Meeting dates and times are posted on the Board website, </w:t>
      </w:r>
      <w:hyperlink r:id="rId5" w:history="1">
        <w:r w:rsidR="0025428E" w:rsidRPr="0025428E">
          <w:rPr>
            <w:rStyle w:val="Hyperlink"/>
            <w:rFonts w:ascii="Arial" w:hAnsi="Arial" w:cs="Arial"/>
            <w:szCs w:val="20"/>
          </w:rPr>
          <w:t>www.dmmhrsb.org</w:t>
        </w:r>
      </w:hyperlink>
      <w:r w:rsidR="0025428E" w:rsidRPr="0025428E">
        <w:rPr>
          <w:rFonts w:ascii="Arial" w:hAnsi="Arial" w:cs="Arial"/>
          <w:szCs w:val="20"/>
        </w:rPr>
        <w:t xml:space="preserve">.  </w:t>
      </w:r>
    </w:p>
    <w:p w:rsidR="0025428E" w:rsidRPr="0025428E" w:rsidRDefault="00DA73E1" w:rsidP="0025428E">
      <w:pPr>
        <w:ind w:left="1440" w:hanging="1440"/>
        <w:rPr>
          <w:rFonts w:ascii="Arial" w:eastAsia="Times New Roman" w:hAnsi="Arial" w:cs="Arial"/>
          <w:szCs w:val="20"/>
          <w:shd w:val="clear" w:color="auto" w:fill="F7F7F7"/>
        </w:rPr>
      </w:pPr>
      <w:r w:rsidRPr="0025428E">
        <w:rPr>
          <w:rFonts w:ascii="Arial" w:eastAsia="Times New Roman" w:hAnsi="Arial" w:cs="Arial"/>
          <w:b/>
          <w:bCs/>
          <w:szCs w:val="20"/>
          <w:shd w:val="clear" w:color="auto" w:fill="F7F7F7"/>
        </w:rPr>
        <w:t>Pay Range: </w:t>
      </w:r>
      <w:r w:rsidRPr="0025428E">
        <w:rPr>
          <w:rFonts w:ascii="Arial" w:eastAsia="Times New Roman" w:hAnsi="Arial" w:cs="Arial"/>
          <w:szCs w:val="20"/>
          <w:shd w:val="clear" w:color="auto" w:fill="F7F7F7"/>
        </w:rPr>
        <w:t>                  </w:t>
      </w:r>
      <w:r w:rsidR="00886B79" w:rsidRPr="0025428E">
        <w:rPr>
          <w:rFonts w:ascii="Arial" w:eastAsia="Times New Roman" w:hAnsi="Arial" w:cs="Arial"/>
          <w:szCs w:val="20"/>
          <w:shd w:val="clear" w:color="auto" w:fill="F7F7F7"/>
        </w:rPr>
        <w:t>    </w:t>
      </w:r>
      <w:proofErr w:type="gramStart"/>
      <w:r w:rsidR="00886B79" w:rsidRPr="0025428E">
        <w:rPr>
          <w:rFonts w:ascii="Arial" w:eastAsia="Times New Roman" w:hAnsi="Arial" w:cs="Arial"/>
          <w:szCs w:val="20"/>
          <w:shd w:val="clear" w:color="auto" w:fill="F7F7F7"/>
        </w:rPr>
        <w:t>n/a</w:t>
      </w:r>
      <w:proofErr w:type="gramEnd"/>
    </w:p>
    <w:p w:rsidR="0025428E" w:rsidRPr="0025428E" w:rsidRDefault="00DA73E1" w:rsidP="0025428E">
      <w:pPr>
        <w:ind w:left="1440" w:hanging="1440"/>
        <w:rPr>
          <w:rFonts w:ascii="Arial" w:eastAsia="Times New Roman" w:hAnsi="Arial" w:cs="Arial"/>
          <w:szCs w:val="20"/>
          <w:shd w:val="clear" w:color="auto" w:fill="F7F7F7"/>
        </w:rPr>
      </w:pPr>
      <w:r w:rsidRPr="0025428E">
        <w:rPr>
          <w:rFonts w:ascii="Arial" w:eastAsia="Times New Roman" w:hAnsi="Arial" w:cs="Arial"/>
          <w:b/>
          <w:bCs/>
          <w:szCs w:val="20"/>
          <w:shd w:val="clear" w:color="auto" w:fill="F7F7F7"/>
        </w:rPr>
        <w:t>FLSA:  </w:t>
      </w:r>
      <w:r w:rsidRPr="0025428E">
        <w:rPr>
          <w:rFonts w:ascii="Arial" w:eastAsia="Times New Roman" w:hAnsi="Arial" w:cs="Arial"/>
          <w:szCs w:val="20"/>
          <w:shd w:val="clear" w:color="auto" w:fill="F7F7F7"/>
        </w:rPr>
        <w:t>                              </w:t>
      </w:r>
      <w:proofErr w:type="gramStart"/>
      <w:r w:rsidR="00886B79" w:rsidRPr="0025428E">
        <w:rPr>
          <w:rFonts w:ascii="Arial" w:eastAsia="Times New Roman" w:hAnsi="Arial" w:cs="Arial"/>
          <w:szCs w:val="20"/>
          <w:shd w:val="clear" w:color="auto" w:fill="F7F7F7"/>
        </w:rPr>
        <w:t>n/a</w:t>
      </w:r>
      <w:proofErr w:type="gramEnd"/>
    </w:p>
    <w:p w:rsidR="0025428E" w:rsidRPr="0025428E" w:rsidRDefault="0025428E" w:rsidP="0025428E">
      <w:pPr>
        <w:ind w:left="1440" w:hanging="1440"/>
        <w:rPr>
          <w:rFonts w:ascii="Arial" w:eastAsia="Times New Roman" w:hAnsi="Arial" w:cs="Arial"/>
          <w:szCs w:val="20"/>
          <w:shd w:val="clear" w:color="auto" w:fill="F7F7F7"/>
        </w:rPr>
      </w:pPr>
    </w:p>
    <w:p w:rsidR="0025428E" w:rsidRPr="0025428E" w:rsidRDefault="00901779" w:rsidP="0025428E">
      <w:pPr>
        <w:rPr>
          <w:rFonts w:ascii="Arial" w:hAnsi="Arial" w:cs="Arial"/>
          <w:szCs w:val="20"/>
        </w:rPr>
      </w:pPr>
      <w:r w:rsidRPr="0025428E">
        <w:rPr>
          <w:rFonts w:ascii="Arial" w:eastAsia="Times New Roman" w:hAnsi="Arial" w:cs="Arial"/>
          <w:b/>
          <w:bCs/>
          <w:szCs w:val="20"/>
          <w:shd w:val="clear" w:color="auto" w:fill="F7F7F7"/>
        </w:rPr>
        <w:t xml:space="preserve">Job Summary: </w:t>
      </w:r>
      <w:r w:rsidR="0025428E" w:rsidRPr="0025428E">
        <w:rPr>
          <w:rFonts w:ascii="Arial" w:hAnsi="Arial" w:cs="Arial"/>
          <w:szCs w:val="20"/>
        </w:rPr>
        <w:t>The Board serves as the local alcohol, drug addiction and mental health public authority and planning agency for Delaware and Morrow Counties. The Board promotes, arranges and implements working agreements with social services agencies, both public and private. It also contracts with non-profit providers for treatment and prevention services; evaluates and monitors all programs and services under contractual commitments; and recruits and promotes local financial support from public and private resources.</w:t>
      </w:r>
    </w:p>
    <w:p w:rsidR="00402041" w:rsidRPr="0025428E" w:rsidRDefault="0025428E" w:rsidP="0025428E">
      <w:pPr>
        <w:rPr>
          <w:rFonts w:ascii="Arial" w:hAnsi="Arial" w:cs="Arial"/>
          <w:szCs w:val="20"/>
        </w:rPr>
      </w:pPr>
      <w:r w:rsidRPr="0025428E">
        <w:rPr>
          <w:rFonts w:ascii="Arial" w:eastAsia="Times New Roman" w:hAnsi="Arial" w:cs="Arial"/>
          <w:bCs/>
          <w:szCs w:val="20"/>
          <w:shd w:val="clear" w:color="auto" w:fill="F7F7F7"/>
        </w:rPr>
        <w:t xml:space="preserve"> </w:t>
      </w:r>
    </w:p>
    <w:p w:rsidR="0025428E" w:rsidRPr="0025428E" w:rsidRDefault="00DA73E1" w:rsidP="0025428E">
      <w:pPr>
        <w:rPr>
          <w:rFonts w:ascii="Arial" w:eastAsia="Times New Roman" w:hAnsi="Arial" w:cs="Arial"/>
          <w:szCs w:val="20"/>
          <w:shd w:val="clear" w:color="auto" w:fill="F7F7F7"/>
        </w:rPr>
      </w:pPr>
      <w:r w:rsidRPr="0025428E">
        <w:rPr>
          <w:rFonts w:ascii="Arial" w:eastAsia="Times New Roman" w:hAnsi="Arial" w:cs="Arial"/>
          <w:b/>
          <w:bCs/>
          <w:szCs w:val="20"/>
          <w:shd w:val="clear" w:color="auto" w:fill="F7F7F7"/>
        </w:rPr>
        <w:t>Q</w:t>
      </w:r>
      <w:r w:rsidR="0025428E" w:rsidRPr="0025428E">
        <w:rPr>
          <w:rFonts w:ascii="Arial" w:eastAsia="Times New Roman" w:hAnsi="Arial" w:cs="Arial"/>
          <w:b/>
          <w:bCs/>
          <w:szCs w:val="20"/>
          <w:shd w:val="clear" w:color="auto" w:fill="F7F7F7"/>
        </w:rPr>
        <w:t xml:space="preserve">ualifications:  </w:t>
      </w:r>
      <w:r w:rsidR="00EF5012" w:rsidRPr="0025428E">
        <w:rPr>
          <w:rFonts w:ascii="Arial" w:eastAsia="Times New Roman" w:hAnsi="Arial" w:cs="Arial"/>
          <w:szCs w:val="20"/>
          <w:shd w:val="clear" w:color="auto" w:fill="F7F7F7"/>
        </w:rPr>
        <w:t>Applicant should be a Delaware County resident</w:t>
      </w:r>
      <w:r w:rsidR="0025428E" w:rsidRPr="0025428E">
        <w:rPr>
          <w:rFonts w:ascii="Arial" w:eastAsia="Times New Roman" w:hAnsi="Arial" w:cs="Arial"/>
          <w:szCs w:val="20"/>
          <w:shd w:val="clear" w:color="auto" w:fill="F7F7F7"/>
        </w:rPr>
        <w:t xml:space="preserve"> and demonstrably interested in mental health, alcohol or drug addiction programs and facilities. Based on population, Delaware County</w:t>
      </w:r>
    </w:p>
    <w:p w:rsidR="0025428E" w:rsidRPr="0025428E" w:rsidRDefault="0025428E" w:rsidP="0025428E">
      <w:pPr>
        <w:rPr>
          <w:rFonts w:ascii="Arial" w:hAnsi="Arial" w:cs="Arial"/>
          <w:szCs w:val="20"/>
        </w:rPr>
      </w:pPr>
      <w:proofErr w:type="gramStart"/>
      <w:r w:rsidRPr="0025428E">
        <w:rPr>
          <w:rFonts w:ascii="Arial" w:eastAsia="Times New Roman" w:hAnsi="Arial" w:cs="Arial"/>
          <w:szCs w:val="20"/>
          <w:shd w:val="clear" w:color="auto" w:fill="F7F7F7"/>
        </w:rPr>
        <w:t>currently</w:t>
      </w:r>
      <w:proofErr w:type="gramEnd"/>
      <w:r w:rsidRPr="0025428E">
        <w:rPr>
          <w:rFonts w:ascii="Arial" w:eastAsia="Times New Roman" w:hAnsi="Arial" w:cs="Arial"/>
          <w:szCs w:val="20"/>
          <w:shd w:val="clear" w:color="auto" w:fill="F7F7F7"/>
        </w:rPr>
        <w:t xml:space="preserve"> appoints seven members and Morrow County appoints one member. </w:t>
      </w:r>
      <w:r w:rsidRPr="0025428E">
        <w:rPr>
          <w:rFonts w:ascii="Arial" w:hAnsi="Arial" w:cs="Arial"/>
          <w:szCs w:val="20"/>
        </w:rPr>
        <w:t>Board members should</w:t>
      </w:r>
    </w:p>
    <w:p w:rsidR="0025428E" w:rsidRPr="0025428E" w:rsidRDefault="0025428E" w:rsidP="0025428E">
      <w:pPr>
        <w:rPr>
          <w:rFonts w:ascii="Arial" w:hAnsi="Arial" w:cs="Arial"/>
          <w:szCs w:val="20"/>
        </w:rPr>
      </w:pPr>
      <w:proofErr w:type="gramStart"/>
      <w:r w:rsidRPr="0025428E">
        <w:rPr>
          <w:rFonts w:ascii="Arial" w:hAnsi="Arial" w:cs="Arial"/>
          <w:szCs w:val="20"/>
        </w:rPr>
        <w:t>abstain</w:t>
      </w:r>
      <w:proofErr w:type="gramEnd"/>
      <w:r w:rsidRPr="0025428E">
        <w:rPr>
          <w:rFonts w:ascii="Arial" w:hAnsi="Arial" w:cs="Arial"/>
          <w:szCs w:val="20"/>
        </w:rPr>
        <w:t xml:space="preserve"> from any vote that involves contracts as covered in the R.C. 2921.42., and if</w:t>
      </w:r>
    </w:p>
    <w:p w:rsidR="0025428E" w:rsidRPr="0025428E" w:rsidRDefault="0025428E" w:rsidP="0025428E">
      <w:pPr>
        <w:rPr>
          <w:rFonts w:ascii="Arial" w:hAnsi="Arial" w:cs="Arial"/>
          <w:szCs w:val="20"/>
        </w:rPr>
      </w:pPr>
      <w:proofErr w:type="gramStart"/>
      <w:r w:rsidRPr="0025428E">
        <w:rPr>
          <w:rFonts w:ascii="Arial" w:hAnsi="Arial" w:cs="Arial"/>
          <w:szCs w:val="20"/>
        </w:rPr>
        <w:t>there</w:t>
      </w:r>
      <w:proofErr w:type="gramEnd"/>
      <w:r w:rsidRPr="0025428E">
        <w:rPr>
          <w:rFonts w:ascii="Arial" w:hAnsi="Arial" w:cs="Arial"/>
          <w:szCs w:val="20"/>
        </w:rPr>
        <w:t xml:space="preserve"> are other exceptions. If the Board is voting on awarding a service contract to a</w:t>
      </w:r>
    </w:p>
    <w:p w:rsidR="0025428E" w:rsidRPr="0025428E" w:rsidRDefault="0025428E" w:rsidP="0025428E">
      <w:pPr>
        <w:rPr>
          <w:rFonts w:ascii="Arial" w:hAnsi="Arial" w:cs="Arial"/>
          <w:szCs w:val="20"/>
        </w:rPr>
      </w:pPr>
      <w:proofErr w:type="gramStart"/>
      <w:r w:rsidRPr="0025428E">
        <w:rPr>
          <w:rFonts w:ascii="Arial" w:hAnsi="Arial" w:cs="Arial"/>
          <w:szCs w:val="20"/>
        </w:rPr>
        <w:t>provider</w:t>
      </w:r>
      <w:proofErr w:type="gramEnd"/>
      <w:r w:rsidRPr="0025428E">
        <w:rPr>
          <w:rFonts w:ascii="Arial" w:hAnsi="Arial" w:cs="Arial"/>
          <w:szCs w:val="20"/>
        </w:rPr>
        <w:t xml:space="preserve"> who will work in a school district in which a board member works, then that board member would abstain.  </w:t>
      </w:r>
    </w:p>
    <w:p w:rsidR="00D84354" w:rsidRPr="0025428E" w:rsidRDefault="00D84354" w:rsidP="00DA73E1">
      <w:pPr>
        <w:rPr>
          <w:rFonts w:ascii="Arial" w:eastAsia="Times New Roman" w:hAnsi="Arial" w:cs="Arial"/>
          <w:szCs w:val="20"/>
          <w:shd w:val="clear" w:color="auto" w:fill="F7F7F7"/>
        </w:rPr>
      </w:pPr>
    </w:p>
    <w:p w:rsidR="00DA73E1" w:rsidRPr="0025428E" w:rsidRDefault="00DA73E1" w:rsidP="00DA73E1">
      <w:pPr>
        <w:rPr>
          <w:rFonts w:ascii="Arial" w:eastAsia="Times New Roman" w:hAnsi="Arial" w:cs="Arial"/>
          <w:szCs w:val="20"/>
        </w:rPr>
      </w:pPr>
      <w:r w:rsidRPr="0025428E">
        <w:rPr>
          <w:rFonts w:ascii="Arial" w:eastAsia="Times New Roman" w:hAnsi="Arial" w:cs="Arial"/>
          <w:b/>
          <w:bCs/>
          <w:szCs w:val="20"/>
          <w:shd w:val="clear" w:color="auto" w:fill="F7F7F7"/>
        </w:rPr>
        <w:t>Essential Job Functions:</w:t>
      </w:r>
    </w:p>
    <w:p w:rsidR="0025428E" w:rsidRPr="0025428E" w:rsidRDefault="00D84354" w:rsidP="0025428E">
      <w:pPr>
        <w:pStyle w:val="ListParagraph"/>
        <w:numPr>
          <w:ilvl w:val="0"/>
          <w:numId w:val="6"/>
        </w:numPr>
        <w:rPr>
          <w:rFonts w:ascii="Arial" w:eastAsia="Times New Roman" w:hAnsi="Arial" w:cs="Arial"/>
          <w:szCs w:val="20"/>
        </w:rPr>
      </w:pPr>
      <w:r w:rsidRPr="0025428E">
        <w:rPr>
          <w:rFonts w:ascii="Arial" w:eastAsia="Times New Roman" w:hAnsi="Arial" w:cs="Arial"/>
          <w:szCs w:val="20"/>
          <w:shd w:val="clear" w:color="auto" w:fill="F7F7F7"/>
        </w:rPr>
        <w:t xml:space="preserve">Attend meetings. </w:t>
      </w:r>
      <w:r w:rsidR="0025428E" w:rsidRPr="0025428E">
        <w:rPr>
          <w:rFonts w:ascii="Arial" w:eastAsia="Times New Roman" w:hAnsi="Arial" w:cs="Arial"/>
          <w:szCs w:val="20"/>
          <w:shd w:val="clear" w:color="auto" w:fill="F7F7F7"/>
        </w:rPr>
        <w:t>Meetings typically are one to two hours in length, based on the agenda.</w:t>
      </w:r>
    </w:p>
    <w:p w:rsidR="0025428E" w:rsidRPr="0025428E" w:rsidRDefault="0025428E" w:rsidP="0025428E">
      <w:pPr>
        <w:pStyle w:val="ListParagraph"/>
        <w:numPr>
          <w:ilvl w:val="0"/>
          <w:numId w:val="6"/>
        </w:numPr>
        <w:rPr>
          <w:rFonts w:ascii="Arial" w:eastAsia="Times New Roman" w:hAnsi="Arial" w:cs="Arial"/>
          <w:szCs w:val="20"/>
        </w:rPr>
      </w:pPr>
      <w:r w:rsidRPr="0025428E">
        <w:rPr>
          <w:rFonts w:ascii="Arial" w:hAnsi="Arial" w:cs="Arial"/>
          <w:szCs w:val="20"/>
        </w:rPr>
        <w:t>Prepare for meetings based on agenda, reports and other items to be discussed ahead of the actual meeting.  The Board member may spend 3-5 hours per month on board related business, unless some unusual circumstances arise.</w:t>
      </w:r>
    </w:p>
    <w:p w:rsidR="00467C14" w:rsidRPr="0025428E" w:rsidRDefault="0025428E" w:rsidP="0025428E">
      <w:pPr>
        <w:pStyle w:val="ListParagraph"/>
        <w:numPr>
          <w:ilvl w:val="0"/>
          <w:numId w:val="6"/>
        </w:numPr>
        <w:rPr>
          <w:rFonts w:ascii="Arial" w:eastAsia="Times New Roman" w:hAnsi="Arial" w:cs="Arial"/>
          <w:szCs w:val="20"/>
          <w:shd w:val="clear" w:color="auto" w:fill="F7F7F7"/>
        </w:rPr>
      </w:pPr>
      <w:r w:rsidRPr="0025428E">
        <w:rPr>
          <w:rFonts w:ascii="Arial" w:hAnsi="Arial" w:cs="Arial"/>
          <w:szCs w:val="20"/>
        </w:rPr>
        <w:t>Attendance at extra events is not required, but Board members may choose to attend other related events, provider fundraisers, civic or levy events.</w:t>
      </w:r>
      <w:r w:rsidR="00402041" w:rsidRPr="0025428E">
        <w:rPr>
          <w:rFonts w:ascii="Arial" w:eastAsia="Times New Roman" w:hAnsi="Arial" w:cs="Arial"/>
          <w:szCs w:val="20"/>
          <w:shd w:val="clear" w:color="auto" w:fill="F7F7F7"/>
        </w:rPr>
        <w:t xml:space="preserve"> </w:t>
      </w:r>
    </w:p>
    <w:sectPr w:rsidR="00467C14" w:rsidRPr="0025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ACA"/>
    <w:multiLevelType w:val="hybridMultilevel"/>
    <w:tmpl w:val="88EE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138DD"/>
    <w:multiLevelType w:val="hybridMultilevel"/>
    <w:tmpl w:val="78BC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A25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4FAF24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F602690"/>
    <w:multiLevelType w:val="hybridMultilevel"/>
    <w:tmpl w:val="32A6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1052E"/>
    <w:multiLevelType w:val="multilevel"/>
    <w:tmpl w:val="BC36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E1"/>
    <w:rsid w:val="000B0993"/>
    <w:rsid w:val="000F3560"/>
    <w:rsid w:val="0025428E"/>
    <w:rsid w:val="00402041"/>
    <w:rsid w:val="00453D33"/>
    <w:rsid w:val="00467C14"/>
    <w:rsid w:val="004F5215"/>
    <w:rsid w:val="00515DA9"/>
    <w:rsid w:val="0078384B"/>
    <w:rsid w:val="00886B79"/>
    <w:rsid w:val="00901779"/>
    <w:rsid w:val="00D84354"/>
    <w:rsid w:val="00DA73E1"/>
    <w:rsid w:val="00EF5012"/>
    <w:rsid w:val="00F61F50"/>
    <w:rsid w:val="00F6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772A6-7315-4A8C-A76C-6B5E3C9C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DA73E1"/>
  </w:style>
  <w:style w:type="character" w:customStyle="1" w:styleId="Normal1">
    <w:name w:val="Normal1"/>
    <w:basedOn w:val="DefaultParagraphFont"/>
    <w:rsid w:val="00DA73E1"/>
  </w:style>
  <w:style w:type="character" w:styleId="Strong">
    <w:name w:val="Strong"/>
    <w:basedOn w:val="DefaultParagraphFont"/>
    <w:uiPriority w:val="22"/>
    <w:qFormat/>
    <w:rsid w:val="00DA73E1"/>
    <w:rPr>
      <w:b/>
      <w:bCs/>
    </w:rPr>
  </w:style>
  <w:style w:type="paragraph" w:styleId="ListParagraph">
    <w:name w:val="List Paragraph"/>
    <w:basedOn w:val="Normal"/>
    <w:uiPriority w:val="34"/>
    <w:qFormat/>
    <w:rsid w:val="00402041"/>
    <w:pPr>
      <w:ind w:left="720"/>
      <w:contextualSpacing/>
    </w:pPr>
  </w:style>
  <w:style w:type="character" w:styleId="Hyperlink">
    <w:name w:val="Hyperlink"/>
    <w:basedOn w:val="DefaultParagraphFont"/>
    <w:uiPriority w:val="99"/>
    <w:unhideWhenUsed/>
    <w:rsid w:val="0025428E"/>
    <w:rPr>
      <w:color w:val="0563C1" w:themeColor="hyperlink"/>
      <w:u w:val="single"/>
    </w:rPr>
  </w:style>
  <w:style w:type="character" w:styleId="FollowedHyperlink">
    <w:name w:val="FollowedHyperlink"/>
    <w:basedOn w:val="DefaultParagraphFont"/>
    <w:uiPriority w:val="99"/>
    <w:semiHidden/>
    <w:unhideWhenUsed/>
    <w:rsid w:val="002542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mmhr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Dinovo, Sarah</cp:lastModifiedBy>
  <cp:revision>4</cp:revision>
  <dcterms:created xsi:type="dcterms:W3CDTF">2018-01-22T20:53:00Z</dcterms:created>
  <dcterms:modified xsi:type="dcterms:W3CDTF">2020-04-30T19:02:00Z</dcterms:modified>
</cp:coreProperties>
</file>